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contextualSpacing w:val="0"/>
        <w:jc w:val="center"/>
        <w:rPr>
          <w:rFonts w:ascii="Arial" w:cs="Arial" w:eastAsia="Arial" w:hAnsi="Arial"/>
          <w:color w:val="222222"/>
          <w:sz w:val="22"/>
          <w:szCs w:val="22"/>
        </w:rPr>
      </w:pPr>
      <w:r w:rsidDel="00000000" w:rsidR="00000000" w:rsidRPr="00000000">
        <w:rPr>
          <w:rFonts w:ascii="Arial" w:cs="Arial" w:eastAsia="Arial" w:hAnsi="Arial"/>
          <w:b w:val="1"/>
          <w:sz w:val="22"/>
          <w:szCs w:val="22"/>
          <w:rtl w:val="0"/>
        </w:rPr>
        <w:t xml:space="preserve">TEATRO DE GUERRA </w:t>
      </w:r>
      <w:r w:rsidDel="00000000" w:rsidR="00000000" w:rsidRPr="00000000">
        <w:rPr>
          <w:rFonts w:ascii="Arial" w:cs="Arial" w:eastAsia="Arial" w:hAnsi="Arial"/>
          <w:color w:val="222222"/>
          <w:sz w:val="22"/>
          <w:szCs w:val="22"/>
          <w:rtl w:val="0"/>
        </w:rPr>
        <w:t xml:space="preserve">de </w:t>
      </w:r>
      <w:r w:rsidDel="00000000" w:rsidR="00000000" w:rsidRPr="00000000">
        <w:rPr>
          <w:rFonts w:ascii="Arial" w:cs="Arial" w:eastAsia="Arial" w:hAnsi="Arial"/>
          <w:sz w:val="22"/>
          <w:szCs w:val="22"/>
          <w:rtl w:val="0"/>
        </w:rPr>
        <w:t xml:space="preserve">Lola Arias</w:t>
      </w:r>
      <w:r w:rsidDel="00000000" w:rsidR="00000000" w:rsidRPr="00000000">
        <w:rPr>
          <w:rFonts w:ascii="Arial" w:cs="Arial" w:eastAsia="Arial" w:hAnsi="Arial"/>
          <w:color w:val="222222"/>
          <w:sz w:val="22"/>
          <w:szCs w:val="22"/>
          <w:rtl w:val="0"/>
        </w:rPr>
        <w:t xml:space="preserve"> (2018</w:t>
      </w:r>
      <w:r w:rsidDel="00000000" w:rsidR="00000000" w:rsidRPr="00000000">
        <w:rPr>
          <w:rFonts w:ascii="Arial" w:cs="Arial" w:eastAsia="Arial" w:hAnsi="Arial"/>
          <w:sz w:val="22"/>
          <w:szCs w:val="22"/>
          <w:rtl w:val="0"/>
        </w:rPr>
        <w:t xml:space="preserve">, Argentina, </w:t>
      </w:r>
      <w:r w:rsidDel="00000000" w:rsidR="00000000" w:rsidRPr="00000000">
        <w:rPr>
          <w:rFonts w:ascii="Arial" w:cs="Arial" w:eastAsia="Arial" w:hAnsi="Arial"/>
          <w:color w:val="222222"/>
          <w:sz w:val="22"/>
          <w:szCs w:val="22"/>
          <w:rtl w:val="0"/>
        </w:rPr>
        <w:t xml:space="preserve">77´)</w:t>
      </w:r>
    </w:p>
    <w:p w:rsidR="00000000" w:rsidDel="00000000" w:rsidP="00000000" w:rsidRDefault="00000000" w:rsidRPr="00000000" w14:paraId="00000001">
      <w:pPr>
        <w:shd w:fill="ffffff" w:val="clear"/>
        <w:contextualSpacing w:val="0"/>
        <w:jc w:val="center"/>
        <w:rPr>
          <w:rFonts w:ascii="Arial" w:cs="Arial" w:eastAsia="Arial" w:hAnsi="Arial"/>
          <w:color w:val="268b37"/>
          <w:sz w:val="22"/>
          <w:szCs w:val="22"/>
        </w:rPr>
      </w:pPr>
      <w:r w:rsidDel="00000000" w:rsidR="00000000" w:rsidRPr="00000000">
        <w:rPr>
          <w:rFonts w:ascii="Arial" w:cs="Arial" w:eastAsia="Arial" w:hAnsi="Arial"/>
          <w:b w:val="1"/>
          <w:color w:val="268b37"/>
          <w:sz w:val="22"/>
          <w:szCs w:val="22"/>
          <w:rtl w:val="0"/>
        </w:rPr>
        <w:t xml:space="preserve">Jueves, 26 de julio / 19hs./ Sala Zitarrosa</w:t>
      </w:r>
      <w:r w:rsidDel="00000000" w:rsidR="00000000" w:rsidRPr="00000000">
        <w:rPr>
          <w:rFonts w:ascii="Arial" w:cs="Arial" w:eastAsia="Arial" w:hAnsi="Arial"/>
          <w:color w:val="268b37"/>
          <w:sz w:val="22"/>
          <w:szCs w:val="22"/>
          <w:rtl w:val="0"/>
        </w:rPr>
        <w:t xml:space="preserve"> (Avda. 18 de julio 1012)</w:t>
      </w:r>
    </w:p>
    <w:p w:rsidR="00000000" w:rsidDel="00000000" w:rsidP="00000000" w:rsidRDefault="00000000" w:rsidRPr="00000000" w14:paraId="00000002">
      <w:pPr>
        <w:shd w:fill="ffffff" w:val="clear"/>
        <w:contextualSpacing w:val="0"/>
        <w:jc w:val="center"/>
        <w:rPr>
          <w:rFonts w:ascii="Arial" w:cs="Arial" w:eastAsia="Arial" w:hAnsi="Arial"/>
          <w:color w:val="268b37"/>
          <w:sz w:val="22"/>
          <w:szCs w:val="22"/>
        </w:rPr>
      </w:pPr>
      <w:r w:rsidDel="00000000" w:rsidR="00000000" w:rsidRPr="00000000">
        <w:rPr>
          <w:rtl w:val="0"/>
        </w:rPr>
      </w:r>
    </w:p>
    <w:p w:rsidR="00000000" w:rsidDel="00000000" w:rsidP="00000000" w:rsidRDefault="00000000" w:rsidRPr="00000000" w14:paraId="00000003">
      <w:pPr>
        <w:shd w:fill="ffffff" w:val="clear"/>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0" distT="0" distL="0" distR="0">
            <wp:extent cx="4022971" cy="2263158"/>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4022971" cy="2263158"/>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hd w:fill="ffffff" w:val="clear"/>
        <w:contextualSpacing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5">
      <w:pPr>
        <w:shd w:fill="ffffff" w:val="clear"/>
        <w:contextualSpacing w:val="0"/>
        <w:jc w:val="center"/>
        <w:rPr>
          <w:rFonts w:ascii="Arial" w:cs="Arial" w:eastAsia="Arial" w:hAnsi="Arial"/>
          <w:color w:val="0563c1"/>
          <w:sz w:val="21"/>
          <w:szCs w:val="21"/>
          <w:u w:val="single"/>
        </w:rPr>
      </w:pPr>
      <w:r w:rsidDel="00000000" w:rsidR="00000000" w:rsidRPr="00000000">
        <w:rPr>
          <w:rFonts w:ascii="Arial" w:cs="Arial" w:eastAsia="Arial" w:hAnsi="Arial"/>
          <w:color w:val="222222"/>
          <w:sz w:val="21"/>
          <w:szCs w:val="21"/>
          <w:rtl w:val="0"/>
        </w:rPr>
        <w:t xml:space="preserve">Entrada libre con acreditación DocMontevideo o </w:t>
      </w:r>
      <w:r w:rsidDel="00000000" w:rsidR="00000000" w:rsidRPr="00000000">
        <w:fldChar w:fldCharType="begin"/>
        <w:instrText xml:space="preserve"> HYPERLINK "https://goo.gl/forms/Ri6ZHxaiAHV3Njn73" </w:instrText>
        <w:fldChar w:fldCharType="separate"/>
      </w:r>
      <w:r w:rsidDel="00000000" w:rsidR="00000000" w:rsidRPr="00000000">
        <w:rPr>
          <w:rFonts w:ascii="Arial" w:cs="Arial" w:eastAsia="Arial" w:hAnsi="Arial"/>
          <w:color w:val="0563c1"/>
          <w:sz w:val="21"/>
          <w:szCs w:val="21"/>
          <w:u w:val="single"/>
          <w:rtl w:val="0"/>
        </w:rPr>
        <w:t xml:space="preserve">abono La Semana del Documental</w:t>
      </w:r>
    </w:p>
    <w:p w:rsidR="00000000" w:rsidDel="00000000" w:rsidP="00000000" w:rsidRDefault="00000000" w:rsidRPr="00000000" w14:paraId="00000006">
      <w:pPr>
        <w:shd w:fill="ffffff" w:val="clear"/>
        <w:contextualSpacing w:val="0"/>
        <w:jc w:val="center"/>
        <w:rPr>
          <w:rFonts w:ascii="Arial" w:cs="Arial" w:eastAsia="Arial" w:hAnsi="Arial"/>
          <w:color w:val="222222"/>
          <w:sz w:val="21"/>
          <w:szCs w:val="21"/>
        </w:rPr>
      </w:pPr>
      <w:r w:rsidDel="00000000" w:rsidR="00000000" w:rsidRPr="00000000">
        <w:fldChar w:fldCharType="end"/>
      </w:r>
      <w:r w:rsidDel="00000000" w:rsidR="00000000" w:rsidRPr="00000000">
        <w:rPr>
          <w:rFonts w:ascii="Arial" w:cs="Arial" w:eastAsia="Arial" w:hAnsi="Arial"/>
          <w:color w:val="222222"/>
          <w:sz w:val="21"/>
          <w:szCs w:val="21"/>
          <w:rtl w:val="0"/>
        </w:rPr>
        <w:t xml:space="preserve">150$ tickAntel o boletería de la sala</w:t>
      </w:r>
    </w:p>
    <w:p w:rsidR="00000000" w:rsidDel="00000000" w:rsidP="00000000" w:rsidRDefault="00000000" w:rsidRPr="00000000" w14:paraId="00000007">
      <w:pPr>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Fonts w:ascii="Arial" w:cs="Arial" w:eastAsia="Arial" w:hAnsi="Arial"/>
          <w:color w:val="333333"/>
          <w:sz w:val="21"/>
          <w:szCs w:val="21"/>
          <w:rtl w:val="0"/>
        </w:rPr>
        <w:t xml:space="preserve">“Teatro de guerra” </w:t>
      </w:r>
      <w:r w:rsidDel="00000000" w:rsidR="00000000" w:rsidRPr="00000000">
        <w:rPr>
          <w:rFonts w:ascii="Arial" w:cs="Arial" w:eastAsia="Arial" w:hAnsi="Arial"/>
          <w:color w:val="101010"/>
          <w:sz w:val="21"/>
          <w:szCs w:val="21"/>
          <w:rtl w:val="0"/>
        </w:rPr>
        <w:t xml:space="preserve">es un ensayo sobre cómo representar la guerra, interpretado por antiguos enemigos. Veteranos argentinos y británicos de la Guerra de Malvinas/ Falklands se unen para discutir, ensayar y representar sus memorias 35 años después del conflicto. Trailer: </w:t>
      </w:r>
      <w:hyperlink r:id="rId7">
        <w:r w:rsidDel="00000000" w:rsidR="00000000" w:rsidRPr="00000000">
          <w:rPr>
            <w:rFonts w:ascii="Calibri" w:cs="Calibri" w:eastAsia="Calibri" w:hAnsi="Calibri"/>
            <w:color w:val="0563c1"/>
            <w:sz w:val="22"/>
            <w:szCs w:val="22"/>
            <w:u w:val="single"/>
            <w:rtl w:val="0"/>
          </w:rPr>
          <w:t xml:space="preserve">https://vimeo.com/269020000</w:t>
        </w:r>
      </w:hyperlink>
      <w:r w:rsidDel="00000000" w:rsidR="00000000" w:rsidRPr="00000000">
        <w:rPr>
          <w:rtl w:val="0"/>
        </w:rPr>
      </w:r>
    </w:p>
    <w:p w:rsidR="00000000" w:rsidDel="00000000" w:rsidP="00000000" w:rsidRDefault="00000000" w:rsidRPr="00000000" w14:paraId="00000009">
      <w:pPr>
        <w:contextualSpacing w:val="0"/>
        <w:jc w:val="both"/>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0A">
      <w:pPr>
        <w:contextualSpacing w:val="0"/>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Después de la función, diálogo abierto con su directora</w:t>
      </w:r>
    </w:p>
    <w:p w:rsidR="00000000" w:rsidDel="00000000" w:rsidP="00000000" w:rsidRDefault="00000000" w:rsidRPr="00000000" w14:paraId="0000000B">
      <w:pPr>
        <w:contextualSpacing w:val="0"/>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Estreno en Uruguay</w:t>
      </w:r>
    </w:p>
    <w:p w:rsidR="00000000" w:rsidDel="00000000" w:rsidP="00000000" w:rsidRDefault="00000000" w:rsidRPr="00000000" w14:paraId="0000000C">
      <w:pPr>
        <w:contextualSpacing w:val="0"/>
        <w:jc w:val="both"/>
        <w:rPr>
          <w:rFonts w:ascii="Arial" w:cs="Arial" w:eastAsia="Arial" w:hAnsi="Arial"/>
          <w:sz w:val="21"/>
          <w:szCs w:val="21"/>
          <w:u w:val="singl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highlight w:val="white"/>
          <w:u w:val="none"/>
          <w:vertAlign w:val="baseline"/>
          <w:rtl w:val="0"/>
        </w:rPr>
        <w:t xml:space="preserve">Festivales y premios: </w:t>
      </w:r>
      <w:r w:rsidDel="00000000" w:rsidR="00000000" w:rsidRPr="00000000">
        <w:rPr>
          <w:rFonts w:ascii="Arial" w:cs="Arial" w:eastAsia="Arial" w:hAnsi="Arial"/>
          <w:b w:val="0"/>
          <w:i w:val="0"/>
          <w:smallCaps w:val="0"/>
          <w:strike w:val="0"/>
          <w:color w:val="727272"/>
          <w:sz w:val="21"/>
          <w:szCs w:val="21"/>
          <w:u w:val="none"/>
          <w:shd w:fill="auto" w:val="clear"/>
          <w:vertAlign w:val="baseline"/>
          <w:rtl w:val="0"/>
        </w:rPr>
        <w:t xml:space="preserve">Berlinale Forum (Premio CICAE, Premio del Jurado Ecuménico)</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727272"/>
          <w:sz w:val="21"/>
          <w:szCs w:val="21"/>
          <w:u w:val="none"/>
          <w:shd w:fill="auto" w:val="clear"/>
          <w:vertAlign w:val="baseline"/>
          <w:rtl w:val="0"/>
        </w:rPr>
        <w:t xml:space="preserve">BAFICI (Premio al Mejor Director)</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727272"/>
          <w:sz w:val="21"/>
          <w:szCs w:val="21"/>
          <w:u w:val="none"/>
          <w:shd w:fill="auto" w:val="clear"/>
          <w:vertAlign w:val="baseline"/>
          <w:rtl w:val="0"/>
        </w:rPr>
        <w:t xml:space="preserve">SXSW</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727272"/>
          <w:sz w:val="21"/>
          <w:szCs w:val="21"/>
          <w:u w:val="none"/>
          <w:shd w:fill="auto" w:val="clear"/>
          <w:vertAlign w:val="baseline"/>
          <w:rtl w:val="0"/>
        </w:rPr>
        <w:t xml:space="preserve">Hong Kong IFF</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727272"/>
          <w:sz w:val="21"/>
          <w:szCs w:val="21"/>
          <w:u w:val="none"/>
          <w:shd w:fill="auto" w:val="clear"/>
          <w:vertAlign w:val="baseline"/>
          <w:rtl w:val="0"/>
        </w:rPr>
        <w:t xml:space="preserve">Istanbul IFF</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727272"/>
          <w:sz w:val="21"/>
          <w:szCs w:val="21"/>
          <w:u w:val="none"/>
          <w:shd w:fill="auto" w:val="clear"/>
          <w:vertAlign w:val="baseline"/>
          <w:rtl w:val="0"/>
        </w:rPr>
        <w:t xml:space="preserve">CPH: Dox</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727272"/>
          <w:sz w:val="21"/>
          <w:szCs w:val="21"/>
          <w:u w:val="none"/>
          <w:shd w:fill="auto" w:val="clear"/>
          <w:vertAlign w:val="baseline"/>
          <w:rtl w:val="0"/>
        </w:rPr>
        <w:t xml:space="preserve">Jeonju IFF</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727272"/>
          <w:sz w:val="21"/>
          <w:szCs w:val="21"/>
          <w:u w:val="none"/>
          <w:shd w:fill="auto" w:val="clear"/>
          <w:vertAlign w:val="baseline"/>
          <w:rtl w:val="0"/>
        </w:rPr>
        <w:t xml:space="preserve">Jerusalem IFF</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727272"/>
          <w:sz w:val="21"/>
          <w:szCs w:val="21"/>
          <w:u w:val="none"/>
          <w:shd w:fill="auto" w:val="clear"/>
          <w:vertAlign w:val="baseline"/>
          <w:rtl w:val="0"/>
        </w:rPr>
        <w:t xml:space="preserve">Lodz Transatlantik IFF</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727272"/>
          <w:sz w:val="21"/>
          <w:szCs w:val="21"/>
          <w:u w:val="none"/>
          <w:shd w:fill="auto" w:val="clear"/>
          <w:vertAlign w:val="baseline"/>
          <w:rtl w:val="0"/>
        </w:rPr>
        <w:t xml:space="preserve">Guanajuato IFF</w:t>
      </w:r>
      <w:r w:rsidDel="00000000" w:rsidR="00000000" w:rsidRPr="00000000">
        <w:rPr>
          <w:rtl w:val="0"/>
        </w:rPr>
      </w:r>
    </w:p>
    <w:p w:rsidR="00000000" w:rsidDel="00000000" w:rsidP="00000000" w:rsidRDefault="00000000" w:rsidRPr="00000000" w14:paraId="0000000E">
      <w:pPr>
        <w:contextualSpacing w:val="0"/>
        <w:jc w:val="center"/>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0F">
      <w:pPr>
        <w:contextualSpacing w:val="0"/>
        <w:rPr>
          <w:rFonts w:ascii="Arial" w:cs="Arial" w:eastAsia="Arial" w:hAnsi="Arial"/>
          <w:sz w:val="21"/>
          <w:szCs w:val="21"/>
        </w:rPr>
      </w:pPr>
      <w:r w:rsidDel="00000000" w:rsidR="00000000" w:rsidRPr="00000000">
        <w:rPr>
          <w:rFonts w:ascii="Arial" w:cs="Arial" w:eastAsia="Arial" w:hAnsi="Arial"/>
          <w:b w:val="1"/>
          <w:sz w:val="21"/>
          <w:szCs w:val="21"/>
          <w:rtl w:val="0"/>
        </w:rPr>
        <w:t xml:space="preserve">Directora- Lola Arias</w:t>
      </w:r>
      <w:r w:rsidDel="00000000" w:rsidR="00000000" w:rsidRPr="00000000">
        <w:rPr>
          <w:rtl w:val="0"/>
        </w:rPr>
      </w:r>
    </w:p>
    <w:p w:rsidR="00000000" w:rsidDel="00000000" w:rsidP="00000000" w:rsidRDefault="00000000" w:rsidRPr="00000000" w14:paraId="00000010">
      <w:pPr>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Es escritora, directora de teatro y cine y performer. Colabora con personas de distintos ámbitos (veteranos de guerra, ex comunistas, niños búlgaros, etc) en proyectos de teatro, literatura, música, cine y artes visuales. Sus obras transitan la frontera entre la ficción y lo real. Ha presentado, entre otras, las obras Mi vida después, Familienbande, El año en que nací, Mel- ancolía y manifestaciones , The art of making mon- ey, The art of arriving, Campo Minado/Minefield y Atlas del comunismo. Realiza films e instalaciones de arte. Junto a Ulises Conti, compone música y toca en vivo. Ha publicado poesía, ficción y obras de teatro. Su obra ha sido presentada en espacios como Theatre de la Ville, Red Cat LA, Walker Art Centre, Parque de la memoria, Museum of Contemporary Art de Chicago.</w:t>
      </w:r>
    </w:p>
    <w:p w:rsidR="00000000" w:rsidDel="00000000" w:rsidP="00000000" w:rsidRDefault="00000000" w:rsidRPr="00000000" w14:paraId="00000011">
      <w:pPr>
        <w:contextualSpacing w:val="0"/>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12">
      <w:pPr>
        <w:contextualSpacing w:val="0"/>
        <w:rPr>
          <w:rFonts w:ascii="Arial" w:cs="Arial" w:eastAsia="Arial" w:hAnsi="Arial"/>
          <w:b w:val="1"/>
          <w:color w:val="0563c1"/>
          <w:sz w:val="21"/>
          <w:szCs w:val="21"/>
          <w:u w:val="single"/>
        </w:rPr>
      </w:pPr>
      <w:r w:rsidDel="00000000" w:rsidR="00000000" w:rsidRPr="00000000">
        <w:fldChar w:fldCharType="begin"/>
        <w:instrText xml:space="preserve"> HYPERLINK "https://drive.google.com/open?id=1B3DeobhDWsjXu6RXeMJ0cwUe93JlbNrp" </w:instrText>
        <w:fldChar w:fldCharType="separate"/>
      </w:r>
      <w:r w:rsidDel="00000000" w:rsidR="00000000" w:rsidRPr="00000000">
        <w:rPr>
          <w:rFonts w:ascii="Arial" w:cs="Arial" w:eastAsia="Arial" w:hAnsi="Arial"/>
          <w:b w:val="1"/>
          <w:color w:val="0563c1"/>
          <w:sz w:val="21"/>
          <w:szCs w:val="21"/>
          <w:u w:val="single"/>
          <w:rtl w:val="0"/>
        </w:rPr>
        <w:t xml:space="preserve">Imágenes de la película</w:t>
      </w:r>
    </w:p>
    <w:p w:rsidR="00000000" w:rsidDel="00000000" w:rsidP="00000000" w:rsidRDefault="00000000" w:rsidRPr="00000000" w14:paraId="00000013">
      <w:pPr>
        <w:contextualSpacing w:val="0"/>
        <w:rPr/>
      </w:pPr>
      <w:bookmarkStart w:colFirst="0" w:colLast="0" w:name="_gjdgxs" w:id="0"/>
      <w:bookmarkEnd w:id="0"/>
      <w:r w:rsidDel="00000000" w:rsidR="00000000" w:rsidRPr="00000000">
        <w:fldChar w:fldCharType="end"/>
      </w:r>
      <w:r w:rsidDel="00000000" w:rsidR="00000000" w:rsidRPr="00000000">
        <w:rPr>
          <w:rtl w:val="0"/>
        </w:rPr>
      </w:r>
    </w:p>
    <w:sectPr>
      <w:pgSz w:h="16840" w:w="1190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vimeo.com/26902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