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0" w:sz="0" w:val="none"/>
          <w:left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jc w:val="center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GAMBLING, GODS AND LSD </w:t>
      </w:r>
      <w:r w:rsidDel="00000000" w:rsidR="00000000" w:rsidRPr="00000000">
        <w:rPr>
          <w:color w:val="222222"/>
          <w:rtl w:val="0"/>
        </w:rPr>
        <w:t xml:space="preserve">de </w:t>
      </w:r>
      <w:r w:rsidDel="00000000" w:rsidR="00000000" w:rsidRPr="00000000">
        <w:rPr>
          <w:rtl w:val="0"/>
        </w:rPr>
        <w:t xml:space="preserve">Peter Mettler</w:t>
      </w:r>
      <w:r w:rsidDel="00000000" w:rsidR="00000000" w:rsidRPr="00000000">
        <w:rPr>
          <w:color w:val="222222"/>
          <w:rtl w:val="0"/>
        </w:rPr>
        <w:t xml:space="preserve"> (Canadá, Suiza, 2012, 180´) </w:t>
      </w:r>
    </w:p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jc w:val="center"/>
        <w:rPr>
          <w:color w:val="268b37"/>
        </w:rPr>
      </w:pPr>
      <w:r w:rsidDel="00000000" w:rsidR="00000000" w:rsidRPr="00000000">
        <w:rPr>
          <w:b w:val="1"/>
          <w:color w:val="268b37"/>
          <w:rtl w:val="0"/>
        </w:rPr>
        <w:t xml:space="preserve">Miércoles, 25 de julio / 20.15hs / CCE</w:t>
      </w:r>
      <w:r w:rsidDel="00000000" w:rsidR="00000000" w:rsidRPr="00000000">
        <w:rPr>
          <w:color w:val="268b37"/>
          <w:rtl w:val="0"/>
        </w:rPr>
        <w:t xml:space="preserve"> (Rincón 629)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419997" cy="26431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997" cy="2643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contextualSpacing w:val="0"/>
        <w:jc w:val="center"/>
        <w:rPr>
          <w:highlight w:val="whit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Entrada libre hasta agotar aforo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lineRule="auto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Durante tres horas fluyen corrientes invisibles, culturas y tiempos que unen a los hombres entre sí. El film pasa por Toronto, Nevada, Suiza, el sur de la India… Un aroma de éxtasis, de estética, de sexo, polvo y divinidad. Un cuadro hecho de asociaciones extraídas de nuestras aspiraciones infinitas a encontrar la sustancia vital. El viaje de un cineasta que superpone el documental a la lógica, al lirismo o a la música, en un intento de reencontrar el sentido de lo maravilloso en lo cotidiano.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Trailer: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https://vimeo.com/ondemand/gglsd/195270602</w:t>
        </w:r>
      </w:hyperlink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 la presencia de su director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right="540"/>
        <w:contextualSpacing w:val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Premios: </w:t>
      </w:r>
      <w:r w:rsidDel="00000000" w:rsidR="00000000" w:rsidRPr="00000000">
        <w:rPr>
          <w:highlight w:val="white"/>
          <w:rtl w:val="0"/>
        </w:rPr>
        <w:t xml:space="preserve">Toronto International Film Festival, Premio Genie a Mejor Largometraje Documental 2003 / Doc Film Festival Warzaw, Premio a Mejor Película 2003 / Duisburger Filmwoche, Premio 3-SAT al Mejor Documental de Habla Alemana 2002 / Festival du Nouveau Cinéma Montréal, Premio NFB al Mejor Documental 2002 / Nyon, Visions du Réel, Gran Premio UBS 2002 y Premio del Público Joven 2002 / Vancouver International Film Festival, Premio de la National Film Board a Mejor Documental 2002.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right="540"/>
        <w:contextualSpacing w:val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Festivales:</w:t>
      </w:r>
      <w:r w:rsidDel="00000000" w:rsidR="00000000" w:rsidRPr="00000000">
        <w:rPr>
          <w:highlight w:val="white"/>
          <w:rtl w:val="0"/>
        </w:rPr>
        <w:t xml:space="preserve"> FIDOCS Festival Internacional Documentales Santiago de Chile / Doc Film Festival Warsaw / Hot Docs Canadian International Documentary Festival Toronto / Dokufest International Documentary and Short Film Festival Prizren / Festival dei Popoli Firenze / International Documentary Festival Amsterdam / Internationales Leipziger Festival für Dokumentar- und Animationsfilm / Yamagata Int. Documentary Film Festival / Docu Days – Beirut International Documentary Festival / DocPoint – Helsinki Documentary Film Festival / Amsterdam International Documentary Film Festival / Denver Int. Film Festival / Melbourne International Film Festival / International Film Festival Trencianske Tepice / Buenos Aires International Independent Film Festival / Torino, Intinity Festival – Film and Spiritual Research / Thessaloniki Documentary Film Festival / International Film Festival Rotterdam / Solothurner Filmtage / Saarbrücken, Filmfestival Max Ophüls Preis / Pusan International Film Festival / Duisburger Filmwoche / Montréal, Festival international du cinéma et des nouveaux medias / Vancouver International Film Festival / Toronto International Film Festival / South African International Documentary Festival / Nyon, Visions du réel – Festival int. du cinéma documentaire.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vimeo.com/ondemand/gglsd/19527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